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4" w:lineRule="auto" w:before="72"/>
        <w:ind w:left="1242" w:right="0" w:hanging="978"/>
        <w:jc w:val="left"/>
        <w:rPr>
          <w:sz w:val="26"/>
        </w:rPr>
      </w:pPr>
      <w:r>
        <w:rPr/>
        <w:pict>
          <v:line style="position:absolute;mso-position-horizontal-relative:page;mso-position-vertical-relative:page;z-index:1096" from="46.799999pt,36.900002pt" to="46.799999pt,756.899962pt" stroked="true" strokeweight="2.16pt" strokecolor="#c53130">
            <v:stroke dashstyle="solid"/>
            <w10:wrap type="none"/>
          </v:line>
        </w:pict>
      </w:r>
      <w:r>
        <w:rPr>
          <w:color w:val="20558A"/>
          <w:spacing w:val="18"/>
          <w:sz w:val="26"/>
        </w:rPr>
        <w:t>Phoenix </w:t>
      </w:r>
      <w:r>
        <w:rPr>
          <w:color w:val="20558A"/>
          <w:spacing w:val="16"/>
          <w:sz w:val="26"/>
        </w:rPr>
        <w:t>Data </w:t>
      </w:r>
      <w:r>
        <w:rPr>
          <w:color w:val="20558A"/>
          <w:spacing w:val="19"/>
          <w:sz w:val="26"/>
        </w:rPr>
        <w:t>Systems, </w:t>
      </w:r>
      <w:r>
        <w:rPr>
          <w:color w:val="20558A"/>
          <w:spacing w:val="16"/>
          <w:sz w:val="26"/>
        </w:rPr>
        <w:t>Inc. </w:t>
      </w:r>
      <w:r>
        <w:rPr>
          <w:color w:val="20558A"/>
          <w:spacing w:val="19"/>
          <w:sz w:val="26"/>
        </w:rPr>
        <w:t>Announces </w:t>
      </w:r>
      <w:r>
        <w:rPr>
          <w:color w:val="20558A"/>
          <w:spacing w:val="14"/>
          <w:sz w:val="26"/>
        </w:rPr>
        <w:t>New </w:t>
      </w:r>
      <w:r>
        <w:rPr>
          <w:color w:val="20558A"/>
          <w:spacing w:val="22"/>
          <w:sz w:val="26"/>
        </w:rPr>
        <w:t>Technology </w:t>
      </w:r>
      <w:r>
        <w:rPr>
          <w:color w:val="20558A"/>
          <w:spacing w:val="20"/>
          <w:sz w:val="26"/>
        </w:rPr>
        <w:t>Partnership </w:t>
      </w:r>
      <w:r>
        <w:rPr>
          <w:color w:val="20558A"/>
          <w:spacing w:val="16"/>
          <w:sz w:val="26"/>
        </w:rPr>
        <w:t>with </w:t>
      </w:r>
      <w:r>
        <w:rPr>
          <w:color w:val="20558A"/>
          <w:spacing w:val="19"/>
          <w:sz w:val="26"/>
        </w:rPr>
        <w:t>oneSOURCE Document</w:t>
      </w:r>
      <w:r>
        <w:rPr>
          <w:color w:val="20558A"/>
          <w:spacing w:val="113"/>
          <w:sz w:val="26"/>
        </w:rPr>
        <w:t> </w:t>
      </w:r>
      <w:r>
        <w:rPr>
          <w:color w:val="20558A"/>
          <w:spacing w:val="22"/>
          <w:sz w:val="26"/>
        </w:rPr>
        <w:t>Site</w:t>
      </w:r>
    </w:p>
    <w:p>
      <w:pPr>
        <w:pStyle w:val="BodyText"/>
        <w:spacing w:before="5"/>
        <w:ind w:left="0"/>
        <w:rPr>
          <w:sz w:val="26"/>
        </w:rPr>
      </w:pPr>
    </w:p>
    <w:p>
      <w:pPr>
        <w:pStyle w:val="BodyText"/>
      </w:pPr>
      <w:r>
        <w:rPr>
          <w:color w:val="7B99BD"/>
          <w:w w:val="105"/>
        </w:rPr>
        <w:t>Southfield, MI – April 2018</w:t>
      </w:r>
    </w:p>
    <w:p>
      <w:pPr>
        <w:pStyle w:val="BodyText"/>
        <w:spacing w:before="4"/>
        <w:ind w:left="0"/>
      </w:pPr>
    </w:p>
    <w:p>
      <w:pPr>
        <w:pStyle w:val="BodyText"/>
        <w:spacing w:line="290" w:lineRule="auto"/>
        <w:ind w:right="24"/>
      </w:pPr>
      <w:r>
        <w:rPr>
          <w:color w:val="181818"/>
          <w:w w:val="105"/>
        </w:rPr>
        <w:t>Phoenix Data Systems, Inc., the sole provider of the AIMS</w:t>
      </w:r>
      <w:r>
        <w:rPr>
          <w:color w:val="181818"/>
          <w:w w:val="105"/>
          <w:vertAlign w:val="superscript"/>
        </w:rPr>
        <w:t>®</w:t>
      </w:r>
      <w:r>
        <w:rPr>
          <w:color w:val="181818"/>
          <w:w w:val="105"/>
          <w:vertAlign w:val="baseline"/>
        </w:rPr>
        <w:t> Computerized Maintenance Management System (CMMS) for the healthcare industry and oneSOURCE, the nation's leading document site and user manual database for Biomedical and Facility Engineering departments, have completed the interface</w:t>
      </w:r>
    </w:p>
    <w:p>
      <w:pPr>
        <w:pStyle w:val="BodyText"/>
        <w:tabs>
          <w:tab w:pos="7036" w:val="left" w:leader="none"/>
        </w:tabs>
        <w:spacing w:line="290" w:lineRule="auto" w:before="65"/>
        <w:ind w:right="219"/>
      </w:pPr>
      <w:r>
        <w:rPr>
          <w:color w:val="181818"/>
          <w:w w:val="105"/>
        </w:rPr>
        <w:t>of AIMS</w:t>
      </w:r>
      <w:r>
        <w:rPr>
          <w:color w:val="181818"/>
          <w:w w:val="105"/>
          <w:vertAlign w:val="superscript"/>
        </w:rPr>
        <w:t>®</w:t>
      </w:r>
      <w:r>
        <w:rPr>
          <w:color w:val="181818"/>
          <w:w w:val="105"/>
          <w:vertAlign w:val="baseline"/>
        </w:rPr>
        <w:t> and oneSOURCE’s </w:t>
      </w:r>
      <w:r>
        <w:rPr>
          <w:w w:val="105"/>
          <w:vertAlign w:val="baseline"/>
        </w:rPr>
        <w:t>Equipment PM</w:t>
      </w:r>
      <w:r>
        <w:rPr>
          <w:spacing w:val="-26"/>
          <w:w w:val="105"/>
          <w:vertAlign w:val="baseline"/>
        </w:rPr>
        <w:t> </w:t>
      </w:r>
      <w:r>
        <w:rPr>
          <w:w w:val="105"/>
          <w:vertAlign w:val="baseline"/>
        </w:rPr>
        <w:t>Document</w:t>
      </w:r>
      <w:r>
        <w:rPr>
          <w:spacing w:val="-5"/>
          <w:w w:val="105"/>
          <w:vertAlign w:val="baseline"/>
        </w:rPr>
        <w:t> </w:t>
      </w:r>
      <w:r>
        <w:rPr>
          <w:w w:val="105"/>
          <w:vertAlign w:val="baseline"/>
        </w:rPr>
        <w:t>Database.</w:t>
        <w:tab/>
      </w:r>
      <w:r>
        <w:rPr>
          <w:color w:val="181818"/>
          <w:w w:val="105"/>
          <w:vertAlign w:val="baseline"/>
        </w:rPr>
        <w:t>The successful merging of these two applications will result in significant time and cost savings for thousands of healthcare service professionals that currently use the two applications</w:t>
      </w:r>
      <w:r>
        <w:rPr>
          <w:color w:val="181818"/>
          <w:spacing w:val="2"/>
          <w:w w:val="105"/>
          <w:vertAlign w:val="baseline"/>
        </w:rPr>
        <w:t> </w:t>
      </w:r>
      <w:r>
        <w:rPr>
          <w:color w:val="181818"/>
          <w:w w:val="105"/>
          <w:vertAlign w:val="baseline"/>
        </w:rPr>
        <w:t>independently.</w:t>
      </w:r>
    </w:p>
    <w:p>
      <w:pPr>
        <w:pStyle w:val="BodyText"/>
        <w:spacing w:line="290" w:lineRule="auto" w:before="194"/>
        <w:ind w:right="24"/>
      </w:pPr>
      <w:r>
        <w:rPr>
          <w:w w:val="105"/>
        </w:rPr>
        <w:t>“This partnership will enable us to provide our users with a seamless interface that allows them to find, access, and store documents in AIMS for their maintenance programs,” stated Ben Mannisto, President and CEO of</w:t>
      </w:r>
    </w:p>
    <w:p>
      <w:pPr>
        <w:pStyle w:val="BodyText"/>
        <w:tabs>
          <w:tab w:pos="3478" w:val="left" w:leader="none"/>
          <w:tab w:pos="9118" w:val="left" w:leader="none"/>
        </w:tabs>
        <w:spacing w:line="290" w:lineRule="auto" w:before="64"/>
        <w:ind w:right="99"/>
      </w:pPr>
      <w:r>
        <w:rPr>
          <w:w w:val="105"/>
        </w:rPr>
        <w:t>Phoenix Data</w:t>
      </w:r>
      <w:r>
        <w:rPr>
          <w:spacing w:val="-7"/>
          <w:w w:val="105"/>
        </w:rPr>
        <w:t> </w:t>
      </w:r>
      <w:r>
        <w:rPr>
          <w:w w:val="105"/>
        </w:rPr>
        <w:t>Systems,</w:t>
      </w:r>
      <w:r>
        <w:rPr>
          <w:spacing w:val="-4"/>
          <w:w w:val="105"/>
        </w:rPr>
        <w:t> </w:t>
      </w:r>
      <w:r>
        <w:rPr>
          <w:w w:val="105"/>
        </w:rPr>
        <w:t>Inc.</w:t>
        <w:tab/>
        <w:t>“It makes both AIMS</w:t>
      </w:r>
      <w:r>
        <w:rPr>
          <w:color w:val="181818"/>
          <w:w w:val="105"/>
          <w:vertAlign w:val="superscript"/>
        </w:rPr>
        <w:t>®</w:t>
      </w:r>
      <w:r>
        <w:rPr>
          <w:color w:val="181818"/>
          <w:w w:val="105"/>
          <w:vertAlign w:val="baseline"/>
        </w:rPr>
        <w:t> </w:t>
      </w:r>
      <w:r>
        <w:rPr>
          <w:w w:val="105"/>
          <w:vertAlign w:val="baseline"/>
        </w:rPr>
        <w:t>and oneSOURCE more valuable to our installed base and opens up more market opportunity to us</w:t>
      </w:r>
      <w:r>
        <w:rPr>
          <w:spacing w:val="-28"/>
          <w:w w:val="105"/>
          <w:vertAlign w:val="baseline"/>
        </w:rPr>
        <w:t> </w:t>
      </w:r>
      <w:r>
        <w:rPr>
          <w:w w:val="105"/>
          <w:vertAlign w:val="baseline"/>
        </w:rPr>
        <w:t>as</w:t>
      </w:r>
      <w:r>
        <w:rPr>
          <w:spacing w:val="-3"/>
          <w:w w:val="105"/>
          <w:vertAlign w:val="baseline"/>
        </w:rPr>
        <w:t> </w:t>
      </w:r>
      <w:r>
        <w:rPr>
          <w:w w:val="105"/>
          <w:vertAlign w:val="baseline"/>
        </w:rPr>
        <w:t>well.</w:t>
        <w:tab/>
      </w:r>
      <w:r>
        <w:rPr>
          <w:spacing w:val="-7"/>
          <w:w w:val="105"/>
          <w:vertAlign w:val="baseline"/>
        </w:rPr>
        <w:t>We </w:t>
      </w:r>
      <w:r>
        <w:rPr>
          <w:w w:val="105"/>
          <w:vertAlign w:val="baseline"/>
        </w:rPr>
        <w:t>are excited about both the power of the interface and early response from our mutual</w:t>
      </w:r>
      <w:r>
        <w:rPr>
          <w:spacing w:val="1"/>
          <w:w w:val="105"/>
          <w:vertAlign w:val="baseline"/>
        </w:rPr>
        <w:t> </w:t>
      </w:r>
      <w:r>
        <w:rPr>
          <w:w w:val="105"/>
          <w:vertAlign w:val="baseline"/>
        </w:rPr>
        <w:t>customers”.</w:t>
      </w:r>
    </w:p>
    <w:p>
      <w:pPr>
        <w:pStyle w:val="BodyText"/>
        <w:spacing w:before="8"/>
        <w:ind w:left="0"/>
        <w:rPr>
          <w:sz w:val="17"/>
        </w:rPr>
      </w:pPr>
    </w:p>
    <w:p>
      <w:pPr>
        <w:pStyle w:val="BodyText"/>
        <w:tabs>
          <w:tab w:pos="1917" w:val="left" w:leader="none"/>
          <w:tab w:pos="2757" w:val="left" w:leader="none"/>
          <w:tab w:pos="8878" w:val="left" w:leader="none"/>
        </w:tabs>
        <w:spacing w:line="290" w:lineRule="auto"/>
        <w:ind w:right="99"/>
      </w:pPr>
      <w:r>
        <w:rPr>
          <w:w w:val="105"/>
        </w:rPr>
        <w:t>“The AIMS/oneSOURCE interface is yet another way we help our clients streamline their operation”, oneSOURCE’s Biomedical Project Manager, Chad Matzen</w:t>
      </w:r>
      <w:r>
        <w:rPr>
          <w:spacing w:val="-4"/>
          <w:w w:val="105"/>
        </w:rPr>
        <w:t> </w:t>
      </w:r>
      <w:r>
        <w:rPr>
          <w:w w:val="105"/>
        </w:rPr>
        <w:t>added.</w:t>
        <w:tab/>
        <w:t>“This interface creates a single environment for all documentation</w:t>
      </w:r>
      <w:r>
        <w:rPr>
          <w:spacing w:val="-7"/>
          <w:w w:val="105"/>
        </w:rPr>
        <w:t> </w:t>
      </w:r>
      <w:r>
        <w:rPr>
          <w:w w:val="105"/>
        </w:rPr>
        <w:t>needs.</w:t>
        <w:tab/>
        <w:t>When you access the asset in the AIMS software, you can quickly retrieve the documentation through the oneSOURCE</w:t>
      </w:r>
      <w:r>
        <w:rPr>
          <w:spacing w:val="-29"/>
          <w:w w:val="105"/>
        </w:rPr>
        <w:t> </w:t>
      </w:r>
      <w:r>
        <w:rPr>
          <w:w w:val="105"/>
        </w:rPr>
        <w:t>embedded</w:t>
      </w:r>
      <w:r>
        <w:rPr>
          <w:spacing w:val="-4"/>
          <w:w w:val="105"/>
        </w:rPr>
        <w:t> </w:t>
      </w:r>
      <w:r>
        <w:rPr>
          <w:w w:val="105"/>
        </w:rPr>
        <w:t>link.</w:t>
        <w:tab/>
      </w:r>
      <w:r>
        <w:rPr>
          <w:spacing w:val="-3"/>
          <w:w w:val="105"/>
        </w:rPr>
        <w:t>This </w:t>
      </w:r>
      <w:r>
        <w:rPr>
          <w:w w:val="105"/>
        </w:rPr>
        <w:t>ease of use is something I desired throughout my entire career as a</w:t>
      </w:r>
      <w:r>
        <w:rPr>
          <w:spacing w:val="-24"/>
          <w:w w:val="105"/>
        </w:rPr>
        <w:t> </w:t>
      </w:r>
      <w:r>
        <w:rPr>
          <w:w w:val="105"/>
        </w:rPr>
        <w:t>BMET.”</w:t>
      </w:r>
    </w:p>
    <w:p>
      <w:pPr>
        <w:pStyle w:val="BodyText"/>
        <w:spacing w:before="4"/>
        <w:ind w:left="0"/>
        <w:rPr>
          <w:sz w:val="26"/>
        </w:rPr>
      </w:pPr>
    </w:p>
    <w:p>
      <w:pPr>
        <w:pStyle w:val="BodyText"/>
      </w:pPr>
      <w:r>
        <w:rPr>
          <w:color w:val="7B99BD"/>
          <w:w w:val="105"/>
        </w:rPr>
        <w:t>About oneSOURCE</w:t>
      </w:r>
      <w:r>
        <w:rPr>
          <w:color w:val="7B99BD"/>
        </w:rPr>
        <w:t> </w:t>
      </w:r>
    </w:p>
    <w:p>
      <w:pPr>
        <w:pStyle w:val="BodyText"/>
        <w:spacing w:line="290" w:lineRule="auto" w:before="161"/>
        <w:ind w:right="24"/>
      </w:pPr>
      <w:r>
        <w:rPr>
          <w:w w:val="105"/>
        </w:rPr>
        <w:t>With oneSOURCE document site, </w:t>
      </w:r>
      <w:hyperlink r:id="rId5">
        <w:r>
          <w:rPr>
            <w:color w:val="1B569C"/>
            <w:w w:val="105"/>
            <w:u w:val="single" w:color="1B569C"/>
          </w:rPr>
          <w:t>www.onesourcedocs.com</w:t>
        </w:r>
        <w:r>
          <w:rPr>
            <w:w w:val="105"/>
          </w:rPr>
          <w:t>, </w:t>
        </w:r>
      </w:hyperlink>
      <w:r>
        <w:rPr>
          <w:w w:val="105"/>
        </w:rPr>
        <w:t>healthcare facilities gain access to an online, electronic binder of manufacturers’ validated instruction for use documents. A search engine provides multiple paths, i.e., general model number, manufacturer, key word to all needed documents and manuals. oneSOURCE Document Site’s Biomedical Database of manufacturers' maintenance and service manuals for preventive maintenance of equipment helps HTMs prepare for CMS accreditation requirements.</w:t>
      </w:r>
    </w:p>
    <w:p>
      <w:pPr>
        <w:pStyle w:val="BodyText"/>
        <w:spacing w:before="6"/>
        <w:ind w:left="0"/>
      </w:pPr>
    </w:p>
    <w:p>
      <w:pPr>
        <w:pStyle w:val="BodyText"/>
      </w:pPr>
      <w:r>
        <w:rPr>
          <w:color w:val="7B99BD"/>
          <w:spacing w:val="14"/>
          <w:w w:val="105"/>
        </w:rPr>
        <w:t>About </w:t>
      </w:r>
      <w:r>
        <w:rPr>
          <w:color w:val="7B99BD"/>
          <w:spacing w:val="15"/>
          <w:w w:val="105"/>
        </w:rPr>
        <w:t>Phoenix </w:t>
      </w:r>
      <w:r>
        <w:rPr>
          <w:color w:val="7B99BD"/>
          <w:spacing w:val="13"/>
          <w:w w:val="105"/>
        </w:rPr>
        <w:t>Data </w:t>
      </w:r>
      <w:r>
        <w:rPr>
          <w:color w:val="7B99BD"/>
          <w:spacing w:val="15"/>
          <w:w w:val="105"/>
        </w:rPr>
        <w:t>Systems,</w:t>
      </w:r>
      <w:r>
        <w:rPr>
          <w:color w:val="7B99BD"/>
          <w:spacing w:val="95"/>
          <w:w w:val="105"/>
        </w:rPr>
        <w:t> </w:t>
      </w:r>
      <w:r>
        <w:rPr>
          <w:color w:val="7B99BD"/>
          <w:spacing w:val="13"/>
          <w:w w:val="105"/>
        </w:rPr>
        <w:t>Inc.</w:t>
      </w:r>
      <w:r>
        <w:rPr>
          <w:color w:val="7B99BD"/>
          <w:spacing w:val="-96"/>
        </w:rPr>
        <w:t> </w:t>
      </w:r>
    </w:p>
    <w:p>
      <w:pPr>
        <w:pStyle w:val="BodyText"/>
        <w:tabs>
          <w:tab w:pos="3117" w:val="left" w:leader="none"/>
          <w:tab w:pos="3958" w:val="left" w:leader="none"/>
        </w:tabs>
        <w:spacing w:line="290" w:lineRule="auto" w:before="156"/>
        <w:ind w:right="99"/>
      </w:pPr>
      <w:r>
        <w:rPr>
          <w:w w:val="105"/>
        </w:rPr>
        <w:t>Phoenix is the trusted provider of the CMMS software, AIMS, for thousands of users around</w:t>
      </w:r>
      <w:r>
        <w:rPr>
          <w:spacing w:val="-6"/>
          <w:w w:val="105"/>
        </w:rPr>
        <w:t> </w:t>
      </w:r>
      <w:r>
        <w:rPr>
          <w:w w:val="105"/>
        </w:rPr>
        <w:t>the</w:t>
      </w:r>
      <w:r>
        <w:rPr>
          <w:spacing w:val="-3"/>
          <w:w w:val="105"/>
        </w:rPr>
        <w:t> </w:t>
      </w:r>
      <w:r>
        <w:rPr>
          <w:w w:val="105"/>
        </w:rPr>
        <w:t>world.</w:t>
        <w:tab/>
        <w:t>Phoenix was formed in the early days of specialized software based on the urgent need for Michigan Hospitals to have a modern maintenance work</w:t>
      </w:r>
      <w:r>
        <w:rPr>
          <w:spacing w:val="-9"/>
          <w:w w:val="105"/>
        </w:rPr>
        <w:t> </w:t>
      </w:r>
      <w:r>
        <w:rPr>
          <w:w w:val="105"/>
        </w:rPr>
        <w:t>order</w:t>
      </w:r>
      <w:r>
        <w:rPr>
          <w:spacing w:val="-4"/>
          <w:w w:val="105"/>
        </w:rPr>
        <w:t> </w:t>
      </w:r>
      <w:r>
        <w:rPr>
          <w:w w:val="105"/>
        </w:rPr>
        <w:t>system.</w:t>
        <w:tab/>
        <w:t>In 1984, after two years of design and development, the first AIMS system was delivered to eight Michigan</w:t>
      </w:r>
      <w:r>
        <w:rPr>
          <w:spacing w:val="-36"/>
          <w:w w:val="105"/>
        </w:rPr>
        <w:t> </w:t>
      </w:r>
      <w:r>
        <w:rPr>
          <w:w w:val="105"/>
        </w:rPr>
        <w:t>hospitals.</w:t>
      </w:r>
    </w:p>
    <w:p>
      <w:pPr>
        <w:pStyle w:val="BodyText"/>
        <w:spacing w:line="290" w:lineRule="auto" w:before="2"/>
        <w:ind w:right="579" w:firstLine="120"/>
        <w:jc w:val="both"/>
      </w:pPr>
      <w:r>
        <w:rPr>
          <w:w w:val="105"/>
        </w:rPr>
        <w:t>Today, AIMS is used in 3,000 facilities in 18 countries. Phoenix is now developing its fifth platform change and designing software to carry AIMS users well into the early 2020’s and beyond. For more information, visit </w:t>
      </w:r>
      <w:hyperlink r:id="rId6">
        <w:r>
          <w:rPr>
            <w:color w:val="1B569C"/>
            <w:w w:val="105"/>
            <w:u w:val="single" w:color="1B569C"/>
          </w:rPr>
          <w:t>www.goaims.com</w:t>
        </w:r>
        <w:r>
          <w:rPr>
            <w:w w:val="105"/>
          </w:rPr>
          <w:t>.</w:t>
        </w:r>
      </w:hyperlink>
    </w:p>
    <w:p>
      <w:pPr>
        <w:pStyle w:val="BodyText"/>
        <w:spacing w:before="4"/>
        <w:ind w:left="0"/>
        <w:rPr>
          <w:sz w:val="27"/>
        </w:rPr>
      </w:pPr>
      <w:r>
        <w:rPr/>
        <w:pict>
          <v:group style="position:absolute;margin-left:71.879997pt;margin-top:17.405624pt;width:46.8pt;height:.5pt;mso-position-horizontal-relative:page;mso-position-vertical-relative:paragraph;z-index:-1024;mso-wrap-distance-left:0;mso-wrap-distance-right:0" coordorigin="1438,348" coordsize="936,10">
            <v:shape style="position:absolute;left:1437;top:352;width:936;height:2" coordorigin="1438,353" coordsize="936,0" path="m1438,353l2374,353,1438,353xe" filled="true" fillcolor="#a0a0a0" stroked="false">
              <v:path arrowok="t"/>
              <v:fill type="solid"/>
            </v:shape>
            <v:rect style="position:absolute;left:1437;top:352;width:5;height:5" filled="true" fillcolor="#aaaaaa" stroked="false">
              <v:fill type="solid"/>
            </v:rect>
            <v:rect style="position:absolute;left:1437;top:352;width:5;height:5" filled="true" fillcolor="#aaaaaa" stroked="false">
              <v:fill type="solid"/>
            </v:rect>
            <v:line style="position:absolute" from="1442,355" to="2369,355" stroked="true" strokeweight=".24pt" strokecolor="#aaaaaa">
              <v:stroke dashstyle="solid"/>
            </v:line>
            <v:rect style="position:absolute;left:2368;top:352;width:5;height:5" filled="true" fillcolor="#aaaaaa" stroked="false">
              <v:fill type="solid"/>
            </v:rect>
            <v:rect style="position:absolute;left:2368;top:352;width:5;height:5" filled="true" fillcolor="#aaaaaa" stroked="false">
              <v:fill type="solid"/>
            </v:rect>
            <v:rect style="position:absolute;left:1437;top:348;width:5;height:5" filled="true" fillcolor="#aaaaaa" stroked="false">
              <v:fill type="solid"/>
            </v:rect>
            <v:rect style="position:absolute;left:1437;top:348;width:5;height:5" filled="true" fillcolor="#aaaaaa" stroked="false">
              <v:fill type="solid"/>
            </v:rect>
            <v:line style="position:absolute" from="1442,351" to="2369,351" stroked="true" strokeweight=".24pt" strokecolor="#aaaaaa">
              <v:stroke dashstyle="solid"/>
            </v:line>
            <v:rect style="position:absolute;left:2368;top:348;width:5;height:5" filled="true" fillcolor="#aaaaaa" stroked="false">
              <v:fill type="solid"/>
            </v:rect>
            <v:rect style="position:absolute;left:2368;top:348;width:5;height:5" filled="true" fillcolor="#aaaaaa" stroked="false">
              <v:fill type="solid"/>
            </v:rect>
            <w10:wrap type="topAndBottom"/>
          </v:group>
        </w:pict>
      </w:r>
    </w:p>
    <w:p>
      <w:pPr>
        <w:pStyle w:val="BodyText"/>
        <w:spacing w:before="4"/>
        <w:ind w:left="0"/>
        <w:rPr>
          <w:sz w:val="17"/>
        </w:rPr>
      </w:pPr>
    </w:p>
    <w:p>
      <w:pPr>
        <w:pStyle w:val="BodyText"/>
        <w:spacing w:before="106"/>
      </w:pPr>
      <w:r>
        <w:rPr>
          <w:color w:val="181818"/>
          <w:w w:val="105"/>
        </w:rPr>
        <w:t>Contacts</w:t>
      </w:r>
      <w:r>
        <w:rPr>
          <w:color w:val="181818"/>
        </w:rPr>
        <w:t> </w:t>
      </w:r>
    </w:p>
    <w:p>
      <w:pPr>
        <w:pStyle w:val="BodyText"/>
        <w:ind w:left="0"/>
        <w:rPr>
          <w:sz w:val="20"/>
        </w:rPr>
      </w:pPr>
    </w:p>
    <w:p>
      <w:pPr>
        <w:pStyle w:val="BodyText"/>
        <w:spacing w:before="5"/>
        <w:ind w:left="0"/>
        <w:rPr>
          <w:sz w:val="12"/>
        </w:rPr>
      </w:pPr>
      <w:r>
        <w:rPr/>
        <w:drawing>
          <wp:anchor distT="0" distB="0" distL="0" distR="0" allowOverlap="1" layoutInCell="1" locked="0" behindDoc="0" simplePos="0" relativeHeight="1">
            <wp:simplePos x="0" y="0"/>
            <wp:positionH relativeFrom="page">
              <wp:posOffset>912875</wp:posOffset>
            </wp:positionH>
            <wp:positionV relativeFrom="paragraph">
              <wp:posOffset>113804</wp:posOffset>
            </wp:positionV>
            <wp:extent cx="1198179" cy="252603"/>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198179" cy="252603"/>
                    </a:xfrm>
                    <a:prstGeom prst="rect">
                      <a:avLst/>
                    </a:prstGeom>
                  </pic:spPr>
                </pic:pic>
              </a:graphicData>
            </a:graphic>
          </wp:anchor>
        </w:drawing>
      </w:r>
      <w:r>
        <w:rPr/>
        <w:drawing>
          <wp:anchor distT="0" distB="0" distL="0" distR="0" allowOverlap="1" layoutInCell="1" locked="0" behindDoc="0" simplePos="0" relativeHeight="2">
            <wp:simplePos x="0" y="0"/>
            <wp:positionH relativeFrom="page">
              <wp:posOffset>3951732</wp:posOffset>
            </wp:positionH>
            <wp:positionV relativeFrom="paragraph">
              <wp:posOffset>138810</wp:posOffset>
            </wp:positionV>
            <wp:extent cx="1094476" cy="222122"/>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1094476" cy="222122"/>
                    </a:xfrm>
                    <a:prstGeom prst="rect">
                      <a:avLst/>
                    </a:prstGeom>
                  </pic:spPr>
                </pic:pic>
              </a:graphicData>
            </a:graphic>
          </wp:anchor>
        </w:drawing>
      </w:r>
    </w:p>
    <w:p>
      <w:pPr>
        <w:spacing w:after="0"/>
        <w:rPr>
          <w:sz w:val="12"/>
        </w:rPr>
        <w:sectPr>
          <w:type w:val="continuous"/>
          <w:pgSz w:w="12240" w:h="15840"/>
          <w:pgMar w:top="660" w:bottom="280" w:left="1320" w:right="1460"/>
        </w:sectPr>
      </w:pPr>
    </w:p>
    <w:p>
      <w:pPr>
        <w:pStyle w:val="BodyText"/>
        <w:spacing w:before="10"/>
        <w:ind w:left="0"/>
        <w:rPr>
          <w:sz w:val="13"/>
        </w:rPr>
      </w:pPr>
    </w:p>
    <w:p>
      <w:pPr>
        <w:spacing w:after="0"/>
        <w:rPr>
          <w:sz w:val="13"/>
        </w:rPr>
        <w:sectPr>
          <w:pgSz w:w="12240" w:h="15840"/>
          <w:pgMar w:top="740" w:bottom="280" w:left="1320" w:right="1460"/>
        </w:sectPr>
      </w:pPr>
    </w:p>
    <w:p>
      <w:pPr>
        <w:pStyle w:val="BodyText"/>
        <w:spacing w:line="268" w:lineRule="auto" w:before="106"/>
        <w:ind w:right="398"/>
      </w:pPr>
      <w:r>
        <w:rPr/>
        <w:pict>
          <v:line style="position:absolute;mso-position-horizontal-relative:page;mso-position-vertical-relative:page;z-index:1120" from="46.799999pt,36.900002pt" to="46.799999pt,756.899962pt" stroked="true" strokeweight="2.16pt" strokecolor="#c53130">
            <v:stroke dashstyle="solid"/>
            <w10:wrap type="none"/>
          </v:line>
        </w:pict>
      </w:r>
      <w:r>
        <w:rPr>
          <w:color w:val="181818"/>
          <w:w w:val="105"/>
        </w:rPr>
        <w:t>Ray Sadler Account</w:t>
      </w:r>
      <w:r>
        <w:rPr>
          <w:color w:val="181818"/>
          <w:spacing w:val="-9"/>
          <w:w w:val="105"/>
        </w:rPr>
        <w:t> </w:t>
      </w:r>
      <w:r>
        <w:rPr>
          <w:color w:val="181818"/>
          <w:w w:val="105"/>
        </w:rPr>
        <w:t>Executive</w:t>
      </w:r>
    </w:p>
    <w:p>
      <w:pPr>
        <w:pStyle w:val="BodyText"/>
        <w:spacing w:line="268" w:lineRule="auto" w:before="1"/>
        <w:ind w:right="26"/>
      </w:pPr>
      <w:r>
        <w:rPr>
          <w:color w:val="181818"/>
          <w:w w:val="105"/>
        </w:rPr>
        <w:t>Phoenix Data Systems (800) 541-2467</w:t>
      </w:r>
    </w:p>
    <w:p>
      <w:pPr>
        <w:pStyle w:val="BodyText"/>
        <w:spacing w:before="1"/>
      </w:pPr>
      <w:hyperlink r:id="rId9">
        <w:r>
          <w:rPr>
            <w:color w:val="1B569C"/>
            <w:w w:val="105"/>
            <w:u w:val="single" w:color="1B569C"/>
          </w:rPr>
          <w:t>rsadler@goaims.com</w:t>
        </w:r>
      </w:hyperlink>
    </w:p>
    <w:p>
      <w:pPr>
        <w:pStyle w:val="BodyText"/>
        <w:spacing w:before="111"/>
      </w:pPr>
      <w:r>
        <w:rPr/>
        <w:br w:type="column"/>
      </w:r>
      <w:r>
        <w:rPr>
          <w:color w:val="181818"/>
          <w:w w:val="105"/>
        </w:rPr>
        <w:t>Heather Thomas</w:t>
      </w:r>
    </w:p>
    <w:p>
      <w:pPr>
        <w:pStyle w:val="BodyText"/>
        <w:spacing w:line="268" w:lineRule="auto" w:before="26"/>
        <w:ind w:right="1784"/>
      </w:pPr>
      <w:r>
        <w:rPr>
          <w:color w:val="181818"/>
          <w:w w:val="105"/>
        </w:rPr>
        <w:t>VP, Sales and Marketing OneSource</w:t>
      </w:r>
    </w:p>
    <w:p>
      <w:pPr>
        <w:pStyle w:val="BodyText"/>
        <w:spacing w:before="1"/>
      </w:pPr>
      <w:r>
        <w:rPr>
          <w:color w:val="181818"/>
          <w:w w:val="105"/>
        </w:rPr>
        <w:t>(970) 390-7110</w:t>
      </w:r>
    </w:p>
    <w:p>
      <w:pPr>
        <w:pStyle w:val="BodyText"/>
        <w:spacing w:before="26"/>
      </w:pPr>
      <w:hyperlink r:id="rId10">
        <w:r>
          <w:rPr>
            <w:color w:val="1B569C"/>
            <w:w w:val="105"/>
            <w:u w:val="single" w:color="1B569C"/>
          </w:rPr>
          <w:t>hthomas@onesourcedocs.com</w:t>
        </w:r>
      </w:hyperlink>
    </w:p>
    <w:sectPr>
      <w:type w:val="continuous"/>
      <w:pgSz w:w="12240" w:h="15840"/>
      <w:pgMar w:top="660" w:bottom="280" w:left="1320" w:right="1460"/>
      <w:cols w:num="2" w:equalWidth="0">
        <w:col w:w="2558" w:space="2227"/>
        <w:col w:w="467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ndale Mono">
    <w:altName w:val="Andale Mono"/>
    <w:charset w:val="0"/>
    <w:family w:val="swiss"/>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ndale Mono" w:hAnsi="Andale Mono" w:eastAsia="Andale Mono" w:cs="Andale Mono"/>
    </w:rPr>
  </w:style>
  <w:style w:styleId="BodyText" w:type="paragraph">
    <w:name w:val="Body Text"/>
    <w:basedOn w:val="Normal"/>
    <w:uiPriority w:val="1"/>
    <w:qFormat/>
    <w:pPr>
      <w:ind w:left="117"/>
    </w:pPr>
    <w:rPr>
      <w:rFonts w:ascii="Andale Mono" w:hAnsi="Andale Mono" w:eastAsia="Andale Mono" w:cs="Andale Mono"/>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onesourcedocs.com/" TargetMode="External"/><Relationship Id="rId6" Type="http://schemas.openxmlformats.org/officeDocument/2006/relationships/hyperlink" Target="http://www.goaims.com/"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mailto:rsadler@goaims.com" TargetMode="External"/><Relationship Id="rId10" Type="http://schemas.openxmlformats.org/officeDocument/2006/relationships/hyperlink" Target="mailto:hthomas@onesource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2019-04-15T20:03:12Z</dcterms:created>
  <dcterms:modified xsi:type="dcterms:W3CDTF">2019-04-15T20:03:12Z</dcterms:modified>
</cp:coreProperties>
</file>